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1246.xml.htm"/>
      <w:bookmarkStart w:id="1" w:name="kswkform4_17860412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Santana Rafael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296.4616</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121,671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297.6759</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121,551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298.8952</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121,217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299.6998</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120,588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296.1427</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120,191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297.0532</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119,673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298.2637</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119,479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298.8481</w:t>
            </w:r>
            <w:r>
              <w:rPr>
                <w:rFonts w:ascii="Times;serif" w:hAnsi="Times;serif"/>
                <w:color w:val="008000"/>
                <w:position w:val="7"/>
                <w:sz w:val="16"/>
                <w:sz w:val="20"/>
                <w:shd w:fill="FFFFFF" w:val="clear"/>
              </w:rPr>
              <w:t>(8)</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119,425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$296.12 to $297.05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$1.00 ranging from $297.22 to $297.9725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within $1.00 ranging from $298.2825 to $299.2100 inclusive. The reporting person undertakes to provide Wabtec, any security holder of Wabtec, or the staff of the Securities and Exchange Commission, upon request, full information regarding the number of shares sold at each separate price within the range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within $1.00 ranging from $299.2850 to $300.1025 inclusive. The reporting person undertakes to provide Wabtec, any security holder of Wabtec, or the staff of the Securities and Exchange Commission, upon request, full information regarding the number of shares sold at each separate price within the range set forth in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within $1.00 ranging from $295.65 to $296.59 inclusive. The reporting person undertakes to provide Wabtec, any security holder of Wabtec, or the staff of the Securities and Exchange Commission, upon request, full information regarding the number of shares sold at each separate price within the range set forth in footnote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within $1.00 ranging from $296.66 to $297.585 inclusive. The reporting person undertakes to provide Wabtec, any security holder of Wabtec, or the staff of the Securities and Exchange Commission, upon request, full information regarding the number of shares sold at each separate price within the range set forth in footnote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within $1.00 ranging from $297.705 to $298.695 inclusive. The reporting person undertakes to provide Wabtec, any security holder of Wabtec, or the staff of the Securities and Exchange Commission, upon request, full information regarding the number of shares sold at each separate price within the range set forth in footnote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within $1.00 ranging from $298.73 to $299.1725 inclusive. The reporting person undertakes to provide Wabtec, any security holder of Wabtec, or the staff of the Securities and Exchange Commission, upon request, full information regarding the number of shares sold at each separate price within the range set forth in footnote (8)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 POA for Rafael Santana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7799"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1259</Words>
  <Characters>6634</Characters>
  <CharactersWithSpaces>7762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